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BF33" w14:textId="725313CF"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185AFC77"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6E14AB">
        <w:rPr>
          <w:rFonts w:ascii="ＭＳ 明朝" w:hAnsi="ＭＳ 明朝" w:cs="ＭＳ 明朝" w:hint="eastAsia"/>
          <w:kern w:val="0"/>
          <w:sz w:val="22"/>
          <w:szCs w:val="22"/>
        </w:rPr>
        <w:t>（</w:t>
      </w:r>
      <w:r w:rsidR="00DA1CB8">
        <w:rPr>
          <w:rFonts w:ascii="ＭＳ 明朝" w:hAnsi="ＭＳ 明朝" w:cs="ＭＳ 明朝" w:hint="eastAsia"/>
          <w:kern w:val="0"/>
          <w:sz w:val="22"/>
          <w:szCs w:val="22"/>
        </w:rPr>
        <w:t>３</w:t>
      </w:r>
      <w:r w:rsidR="006E14AB">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4"/>
        <w:gridCol w:w="4670"/>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3732BE"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7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08"/>
        <w:gridCol w:w="1208"/>
        <w:gridCol w:w="1207"/>
        <w:gridCol w:w="1207"/>
        <w:gridCol w:w="1207"/>
        <w:gridCol w:w="1207"/>
      </w:tblGrid>
      <w:tr w:rsidR="00DA1CB8" w:rsidRPr="005C3837" w14:paraId="4DB6F8C2" w14:textId="77777777" w:rsidTr="00DA1CB8">
        <w:tc>
          <w:tcPr>
            <w:tcW w:w="907" w:type="pct"/>
            <w:tcBorders>
              <w:tl2br w:val="single" w:sz="4" w:space="0" w:color="auto"/>
            </w:tcBorders>
          </w:tcPr>
          <w:p w14:paraId="2D72D145" w14:textId="77777777" w:rsidR="00DA1CB8" w:rsidRPr="005C3837" w:rsidRDefault="00DA1CB8"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DA1CB8" w:rsidRPr="005C3837" w:rsidRDefault="00DA1CB8"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682" w:type="pct"/>
          </w:tcPr>
          <w:p w14:paraId="41441799"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6C4A23EB"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7350D851"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7F8795A1"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0F844B96"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615463FA"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A1CB8" w:rsidRPr="005C3837" w14:paraId="4E2225A7" w14:textId="77777777" w:rsidTr="00DA1CB8">
        <w:tc>
          <w:tcPr>
            <w:tcW w:w="907" w:type="pct"/>
          </w:tcPr>
          <w:p w14:paraId="7F7203B6"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4056A22"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EC56E7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272CD74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7E4C84C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88FB8E3"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CB4C597"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7E349922" w14:textId="77777777" w:rsidTr="00DA1CB8">
        <w:tc>
          <w:tcPr>
            <w:tcW w:w="907" w:type="pct"/>
          </w:tcPr>
          <w:p w14:paraId="0F0B5422"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0A7555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E83001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32A85A3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7F9A99D1"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90BE7F3"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8CE4D64"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7899032D" w14:textId="77777777" w:rsidTr="00DA1CB8">
        <w:tc>
          <w:tcPr>
            <w:tcW w:w="907" w:type="pct"/>
          </w:tcPr>
          <w:p w14:paraId="42E39BD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30DF90DB"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BC4E90B"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C2D096A"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6CEE6C0"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A7712EA"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51D7991"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5A643090" w14:textId="77777777" w:rsidTr="00DA1CB8">
        <w:tc>
          <w:tcPr>
            <w:tcW w:w="907" w:type="pct"/>
          </w:tcPr>
          <w:p w14:paraId="211BD4E1"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3C27535"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617584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8A39150"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60A6FE5"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973891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0603771" w14:textId="77777777" w:rsidR="00DA1CB8" w:rsidRPr="005C3837" w:rsidRDefault="00DA1CB8"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0"/>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960"/>
        <w:gridCol w:w="1963"/>
        <w:gridCol w:w="1963"/>
        <w:gridCol w:w="1776"/>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1" w:name="_Hlk30163637"/>
      <w:r w:rsidRPr="006C4D4E">
        <w:rPr>
          <w:rFonts w:ascii="ＭＳ 明朝" w:hAnsi="ＭＳ 明朝" w:hint="eastAsia"/>
          <w:sz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65760508" w14:textId="77777777" w:rsidR="00AB239D" w:rsidRPr="00681CFA" w:rsidRDefault="00AB239D" w:rsidP="003732BE">
      <w:pPr>
        <w:autoSpaceDE w:val="0"/>
        <w:autoSpaceDN w:val="0"/>
        <w:adjustRightInd w:val="0"/>
        <w:spacing w:line="0" w:lineRule="atLeast"/>
        <w:jc w:val="left"/>
        <w:rPr>
          <w:rFonts w:ascii="ＭＳ ゴシック" w:eastAsia="ＭＳ ゴシック" w:hAnsi="ＭＳ ゴシック" w:hint="eastAsia"/>
          <w:sz w:val="28"/>
          <w:szCs w:val="28"/>
          <w:u w:val="single"/>
        </w:rPr>
      </w:pPr>
    </w:p>
    <w:sectPr w:rsidR="00AB239D" w:rsidRPr="00681CFA" w:rsidSect="003732BE">
      <w:footerReference w:type="default" r:id="rId8"/>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D4738"/>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2BE"/>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2B1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0E10"/>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1CB8"/>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E166-52F3-4BF8-87C2-FB38F29E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13</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21</cp:revision>
  <cp:lastPrinted>2019-06-19T06:39:00Z</cp:lastPrinted>
  <dcterms:created xsi:type="dcterms:W3CDTF">2019-06-14T07:52:00Z</dcterms:created>
  <dcterms:modified xsi:type="dcterms:W3CDTF">2020-07-20T02:55:00Z</dcterms:modified>
</cp:coreProperties>
</file>