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61DBCBCB" w:rsidR="00B6025B" w:rsidRPr="005C3837" w:rsidRDefault="00745D3A" w:rsidP="00AB6672">
      <w:pPr>
        <w:widowControl/>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5CA09FA9" w:rsidR="00B6025B" w:rsidRPr="005C3837" w:rsidRDefault="0073563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73563A"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72A57CA0"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1F910956"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73563A">
              <w:rPr>
                <w:rFonts w:ascii="ＭＳ 明朝" w:hAnsi="ＭＳ 明朝" w:hint="eastAsia"/>
                <w:sz w:val="22"/>
                <w:szCs w:val="22"/>
              </w:rPr>
              <w:t>鹿児島県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59046AA6" w:rsidR="003E3F62" w:rsidRPr="005C3837" w:rsidRDefault="001219EE"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3" w:name="_Hlk95167786"/>
      <w:r w:rsidR="00664A81">
        <w:rPr>
          <w:rFonts w:hint="eastAsia"/>
          <w:sz w:val="22"/>
          <w:szCs w:val="22"/>
          <w:u w:val="single"/>
        </w:rPr>
        <w:t>中間監査等により支出内容</w:t>
      </w:r>
      <w:bookmarkEnd w:id="3"/>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sectPr w:rsidR="00A81C9F" w:rsidRPr="005C3837" w:rsidSect="00B474E9">
      <w:footerReference w:type="default" r:id="rId8"/>
      <w:pgSz w:w="11906" w:h="16838" w:code="9"/>
      <w:pgMar w:top="1418" w:right="1418" w:bottom="1418" w:left="1418" w:header="720" w:footer="680"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25B52F93" w:rsidR="00A94949" w:rsidRPr="00B474E9" w:rsidRDefault="00A94949" w:rsidP="00B474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476146192">
    <w:abstractNumId w:val="0"/>
  </w:num>
  <w:num w:numId="2" w16cid:durableId="1260988932">
    <w:abstractNumId w:val="4"/>
  </w:num>
  <w:num w:numId="3" w16cid:durableId="422070491">
    <w:abstractNumId w:val="7"/>
  </w:num>
  <w:num w:numId="4" w16cid:durableId="1797337661">
    <w:abstractNumId w:val="6"/>
  </w:num>
  <w:num w:numId="5" w16cid:durableId="7491442">
    <w:abstractNumId w:val="1"/>
  </w:num>
  <w:num w:numId="6" w16cid:durableId="523787634">
    <w:abstractNumId w:val="3"/>
  </w:num>
  <w:num w:numId="7" w16cid:durableId="741175527">
    <w:abstractNumId w:val="2"/>
  </w:num>
  <w:num w:numId="8" w16cid:durableId="37921356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19EE"/>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40E4"/>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3CE"/>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EE2"/>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0C67"/>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563A"/>
    <w:rsid w:val="00736A8D"/>
    <w:rsid w:val="00737353"/>
    <w:rsid w:val="00741009"/>
    <w:rsid w:val="00741471"/>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868F7"/>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9B6"/>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479"/>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6AE9"/>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4E9"/>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831"/>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2A8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42A1"/>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67E5"/>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C7C26"/>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13</Pages>
  <Words>1163</Words>
  <Characters>6630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外園順也</cp:lastModifiedBy>
  <cp:revision>37</cp:revision>
  <cp:lastPrinted>2022-04-18T07:36:00Z</cp:lastPrinted>
  <dcterms:created xsi:type="dcterms:W3CDTF">2021-02-08T10:16:00Z</dcterms:created>
  <dcterms:modified xsi:type="dcterms:W3CDTF">2022-04-22T01:52:00Z</dcterms:modified>
</cp:coreProperties>
</file>