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footerReference w:type="default" r:id="rId8"/>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6C97E3B0" w:rsidR="00AB239D" w:rsidRPr="006E4234" w:rsidRDefault="00B6245A" w:rsidP="006C281E">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6C281E">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094C7106"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63DBB7B6" w:rsidR="00A94949" w:rsidRDefault="00A94949" w:rsidP="00BD2C8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F239A94"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CBD"/>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18CC"/>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0F93"/>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B38"/>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4DF5"/>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281E"/>
    <w:rsid w:val="006C5432"/>
    <w:rsid w:val="006C7230"/>
    <w:rsid w:val="006C7F90"/>
    <w:rsid w:val="006D5F01"/>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0B5A"/>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39"/>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0549"/>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5AA3"/>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07693"/>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17</Pages>
  <Words>1494</Words>
  <Characters>8517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110</cp:revision>
  <cp:lastPrinted>2023-04-07T08:13:00Z</cp:lastPrinted>
  <dcterms:created xsi:type="dcterms:W3CDTF">2021-02-08T10:16:00Z</dcterms:created>
  <dcterms:modified xsi:type="dcterms:W3CDTF">2023-04-23T23:44:00Z</dcterms:modified>
</cp:coreProperties>
</file>